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drawing>
          <wp:inline distT="0" distB="0" distL="0" distR="0">
            <wp:extent cx="1737995" cy="78105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1737995" cy="781050"/>
                    </a:xfrm>
                    <a:prstGeom prst="rect">
                      <a:avLst/>
                    </a:prstGeom>
                  </pic:spPr>
                </pic:pic>
              </a:graphicData>
            </a:graphic>
          </wp:inline>
        </w:drawing>
      </w:r>
    </w:p>
    <w:p>
      <w:pPr>
        <w:pStyle w:val="Normal"/>
        <w:bidi w:val="0"/>
        <w:jc w:val="left"/>
        <w:rPr/>
      </w:pPr>
      <w:r>
        <w:rPr/>
      </w:r>
    </w:p>
    <w:p>
      <w:pPr>
        <w:pStyle w:val="Normal"/>
        <w:bidi w:val="0"/>
        <w:spacing w:lineRule="auto" w:line="240" w:before="0" w:after="0"/>
        <w:jc w:val="center"/>
        <w:rPr>
          <w:rFonts w:ascii="Carlito" w:hAnsi="Carlito"/>
        </w:rPr>
      </w:pPr>
      <w:r>
        <w:rPr>
          <w:rFonts w:cs="Calibri,Bold" w:ascii="Carlito" w:hAnsi="Carlito"/>
          <w:b/>
          <w:bCs/>
          <w:sz w:val="24"/>
          <w:szCs w:val="24"/>
        </w:rPr>
        <w:t>Extrait du registre des délibérations du Conseil Communal</w:t>
      </w:r>
    </w:p>
    <w:p>
      <w:pPr>
        <w:pStyle w:val="Normal"/>
        <w:bidi w:val="0"/>
        <w:jc w:val="center"/>
        <w:rPr>
          <w:rFonts w:ascii="Carlito" w:hAnsi="Carlito"/>
        </w:rPr>
      </w:pPr>
      <w:r>
        <w:rPr>
          <w:rFonts w:cs="Calibri,Bold" w:ascii="Carlito" w:hAnsi="Carlito"/>
          <w:b/>
          <w:bCs/>
          <w:sz w:val="24"/>
          <w:szCs w:val="24"/>
        </w:rPr>
        <w:t>Séance du 16 septembre 2025</w:t>
      </w:r>
    </w:p>
    <w:p>
      <w:pPr>
        <w:pStyle w:val="Normal"/>
        <w:bidi w:val="0"/>
        <w:jc w:val="left"/>
        <w:rPr>
          <w:rFonts w:ascii="Carlito" w:hAnsi="Carlito" w:cs="Calibri,Bold"/>
          <w:b/>
          <w:b/>
          <w:bCs/>
          <w:sz w:val="24"/>
          <w:szCs w:val="24"/>
        </w:rPr>
      </w:pPr>
      <w:r>
        <w:rPr>
          <w:rFonts w:cs="Calibri,Bold" w:ascii="Carlito" w:hAnsi="Carlito"/>
          <w:b/>
          <w:bCs/>
          <w:sz w:val="24"/>
          <w:szCs w:val="24"/>
        </w:rPr>
      </w:r>
    </w:p>
    <w:p>
      <w:pPr>
        <w:pStyle w:val="Normal"/>
        <w:bidi w:val="0"/>
        <w:jc w:val="left"/>
        <w:rPr/>
      </w:pPr>
      <w:r>
        <w:rPr>
          <w:rStyle w:val="Qqr1pod"/>
        </w:rPr>
        <w:t>Présents :</w:t>
      </w:r>
      <w:r>
        <w:rPr/>
        <w:br/>
        <w:t>Madame Christine GUYOT, Bourgmestre;</w:t>
        <w:br/>
        <w:t>Monsieur Dominique ALBANESE, Monsieur Denis CRAISSE, Monsieur Grégory RACELLE, échevins;</w:t>
        <w:br/>
        <w:t>Madame Christine GOBIET, Monsieur Lucien DAWANCE, Monsieur Jonathan GIOT, Conseillers;</w:t>
        <w:br/>
        <w:t>Madame Cécile VALGAERTS, Présidente du CPAS;</w:t>
        <w:br/>
        <w:t>Monsieur Joachim REBIA, Directeur Général f.f.;</w:t>
        <w:br/>
      </w:r>
      <w:r>
        <w:rPr>
          <w:rStyle w:val="Qqr1pod"/>
        </w:rPr>
        <w:t>Excusés :</w:t>
      </w:r>
      <w:r>
        <w:rPr/>
        <w:br/>
        <w:t>Madame Aurélie HUBIN, Madame Laurence MEDAERTS, Monsieur Pascal LAMER, Monsieur Thomas DEHOSSAY, Conseillers;</w:t>
      </w:r>
    </w:p>
    <w:p>
      <w:pPr>
        <w:pStyle w:val="Normal"/>
        <w:bidi w:val="0"/>
        <w:jc w:val="left"/>
        <w:rPr>
          <w:rFonts w:ascii="Carlito" w:hAnsi="Carlito" w:cs="Calibri,Bold"/>
          <w:b/>
          <w:b/>
          <w:bCs/>
          <w:sz w:val="24"/>
          <w:szCs w:val="24"/>
        </w:rPr>
      </w:pPr>
      <w:r>
        <w:rPr>
          <w:rFonts w:cs="Calibri,Bold" w:ascii="Carlito" w:hAnsi="Carlito"/>
          <w:b/>
          <w:bCs/>
          <w:sz w:val="24"/>
          <w:szCs w:val="24"/>
        </w:rPr>
      </w:r>
    </w:p>
    <w:p>
      <w:pPr>
        <w:pStyle w:val="Normal"/>
        <w:bidi w:val="0"/>
        <w:spacing w:lineRule="auto" w:line="240" w:before="0" w:after="0"/>
        <w:jc w:val="left"/>
        <w:rPr>
          <w:rFonts w:ascii="Carlito" w:hAnsi="Carlito"/>
          <w:sz w:val="24"/>
          <w:szCs w:val="24"/>
        </w:rPr>
      </w:pPr>
      <w:r>
        <w:rPr>
          <w:rFonts w:cs="Calibri,Bold" w:ascii="Carlito" w:hAnsi="Carlito"/>
          <w:b/>
          <w:bCs/>
          <w:sz w:val="24"/>
          <w:szCs w:val="24"/>
        </w:rPr>
        <w:t xml:space="preserve">Séance publique, </w:t>
      </w:r>
    </w:p>
    <w:p>
      <w:pPr>
        <w:pStyle w:val="Normal"/>
        <w:bidi w:val="0"/>
        <w:spacing w:lineRule="auto" w:line="240" w:before="0" w:after="0"/>
        <w:jc w:val="left"/>
        <w:rPr>
          <w:rFonts w:ascii="Carlito" w:hAnsi="Carlito" w:cs="Calibri,Bold"/>
          <w:b/>
          <w:b/>
          <w:bCs/>
          <w:sz w:val="24"/>
          <w:szCs w:val="24"/>
        </w:rPr>
      </w:pPr>
      <w:r>
        <w:rPr>
          <w:rFonts w:cs="Calibri,Bold" w:ascii="Carlito" w:hAnsi="Carlito"/>
          <w:b/>
          <w:bCs/>
          <w:sz w:val="24"/>
          <w:szCs w:val="24"/>
        </w:rPr>
      </w:r>
    </w:p>
    <w:p>
      <w:pPr>
        <w:pStyle w:val="Normal"/>
        <w:bidi w:val="0"/>
        <w:spacing w:lineRule="auto" w:line="240" w:before="0" w:after="0"/>
        <w:jc w:val="left"/>
        <w:rPr>
          <w:rFonts w:ascii="Carlito" w:hAnsi="Carlito" w:cs="Calibri,Bold"/>
          <w:b/>
          <w:b/>
          <w:bCs/>
          <w:sz w:val="24"/>
          <w:szCs w:val="24"/>
        </w:rPr>
      </w:pPr>
      <w:r>
        <w:rPr>
          <w:rFonts w:cs="Calibri,Bold" w:ascii="Carlito" w:hAnsi="Carlito"/>
          <w:b/>
          <w:bCs/>
          <w:sz w:val="24"/>
          <w:szCs w:val="24"/>
        </w:rPr>
        <w:t>REGLEMENT D'ORDRE INTERIEUR DES SALLES COMMUNALES DE TINLOT - DECISION</w:t>
      </w:r>
    </w:p>
    <w:p>
      <w:pPr>
        <w:pStyle w:val="Normal"/>
        <w:tabs>
          <w:tab w:val="clear" w:pos="1037"/>
          <w:tab w:val="left" w:pos="-720" w:leader="none"/>
        </w:tabs>
        <w:suppressAutoHyphens w:val="true"/>
        <w:bidi w:val="0"/>
        <w:ind w:left="0" w:right="851" w:hanging="0"/>
        <w:jc w:val="both"/>
        <w:rPr>
          <w:rFonts w:ascii="Arial" w:hAnsi="Arial"/>
          <w:sz w:val="24"/>
          <w:szCs w:val="24"/>
        </w:rPr>
      </w:pPr>
      <w:r>
        <w:rPr>
          <w:rStyle w:val="Finlettre"/>
          <w:rFonts w:ascii="Carlito" w:hAnsi="Carlito"/>
          <w:caps w:val="false"/>
          <w:smallCaps w:val="false"/>
          <w:spacing w:val="-3"/>
          <w:sz w:val="24"/>
          <w:szCs w:val="24"/>
        </w:rPr>
        <w:t>Le Conseil Communal,</w:t>
      </w:r>
    </w:p>
    <w:p>
      <w:pPr>
        <w:pStyle w:val="Normal"/>
        <w:bidi w:val="0"/>
        <w:jc w:val="left"/>
        <w:rPr/>
      </w:pPr>
      <w:r>
        <w:rPr/>
        <w:t>Vu le Code de la Démocratie locale et de la Décentralisation;</w:t>
      </w:r>
    </w:p>
    <w:p>
      <w:pPr>
        <w:pStyle w:val="Normal"/>
        <w:bidi w:val="0"/>
        <w:jc w:val="left"/>
        <w:rPr/>
      </w:pPr>
      <w:r>
        <w:rPr/>
        <w:t>Vu l'article 117 de la loi nouvelle loi communale </w:t>
      </w:r>
    </w:p>
    <w:p>
      <w:pPr>
        <w:pStyle w:val="Normal"/>
        <w:bidi w:val="0"/>
        <w:jc w:val="left"/>
        <w:rPr/>
      </w:pPr>
      <w:r>
        <w:rPr/>
        <w:t>Vu le Règlement d'ordre intérieur des infrastructures sportives adopté en sa séance du 26 janvier 2017 ;</w:t>
      </w:r>
    </w:p>
    <w:p>
      <w:pPr>
        <w:pStyle w:val="Normal"/>
        <w:bidi w:val="0"/>
        <w:jc w:val="left"/>
        <w:rPr/>
      </w:pPr>
      <w:r>
        <w:rPr/>
        <w:t>Attendu qu'il devient nécessaire d'actualiser le règlement en fonction des différentes situations rencontrées au quotidien dans la salle polyvalente « la Tinlotoise » et le local intergénérationnel ;</w:t>
      </w:r>
    </w:p>
    <w:p>
      <w:pPr>
        <w:pStyle w:val="Normal"/>
        <w:bidi w:val="0"/>
        <w:jc w:val="left"/>
        <w:rPr/>
      </w:pPr>
      <w:r>
        <w:rPr/>
        <w:t>Vu l’article 117 de la nouvelle loi communale ;</w:t>
      </w:r>
    </w:p>
    <w:p>
      <w:pPr>
        <w:pStyle w:val="Normal"/>
        <w:bidi w:val="0"/>
        <w:jc w:val="left"/>
        <w:rPr/>
      </w:pPr>
      <w:r>
        <w:rPr/>
        <w:t>Vu la délibération du collège communal du 01/09/2025 fixant l'ordre du jour de la présente séance;</w:t>
      </w:r>
    </w:p>
    <w:p>
      <w:pPr>
        <w:pStyle w:val="ParaKWN"/>
        <w:keepNext w:val="true"/>
        <w:bidi w:val="0"/>
        <w:jc w:val="left"/>
        <w:rPr/>
      </w:pPr>
      <w:r>
        <w:rPr>
          <w:rStyle w:val="Qqr2pod"/>
        </w:rPr>
        <w:t> </w:t>
      </w:r>
    </w:p>
    <w:p>
      <w:pPr>
        <w:pStyle w:val="Normal"/>
        <w:bidi w:val="0"/>
        <w:jc w:val="left"/>
        <w:rPr/>
      </w:pPr>
      <w:r>
        <w:rPr>
          <w:rStyle w:val="Qqr2pod"/>
        </w:rPr>
        <w:t>DÉCIDE</w:t>
      </w:r>
      <w:r>
        <w:rPr/>
        <w:t xml:space="preserve"> </w:t>
      </w:r>
      <w:r>
        <w:rPr>
          <w:rStyle w:val="Qqr2pod"/>
        </w:rPr>
        <w:t> à l'unanimité des membres présents </w:t>
      </w:r>
    </w:p>
    <w:p>
      <w:pPr>
        <w:pStyle w:val="Normal"/>
        <w:bidi w:val="0"/>
        <w:jc w:val="left"/>
        <w:rPr/>
      </w:pPr>
      <w:r>
        <w:rPr/>
        <w:t>D'adopter le règlement général d'occupation des salles communales suivant :</w:t>
      </w:r>
    </w:p>
    <w:p>
      <w:pPr>
        <w:pStyle w:val="Normal"/>
        <w:bidi w:val="0"/>
        <w:jc w:val="left"/>
        <w:rPr/>
      </w:pPr>
      <w:r>
        <w:rPr/>
        <w:t>Ce règlement a été rédigé dans le but de garantir la sécurité, l’ordre, le calme et l’hygiène au sein des salles communales de Tinlot et d’assurer ainsi à tous un séjour agréable. Il s’applique à tous les visiteurs et utilisateurs. En fréquentant ces lieux, vous déclarez avoir pris connaissance du présent règlement et vous acceptez de vous y conformer.</w:t>
      </w:r>
    </w:p>
    <w:p>
      <w:pPr>
        <w:pStyle w:val="Normal"/>
        <w:bidi w:val="0"/>
        <w:jc w:val="left"/>
        <w:rPr/>
      </w:pPr>
      <w:r>
        <w:rPr/>
        <w:t> </w:t>
      </w:r>
    </w:p>
    <w:p>
      <w:pPr>
        <w:pStyle w:val="Normal"/>
        <w:bidi w:val="0"/>
        <w:jc w:val="left"/>
        <w:rPr/>
      </w:pPr>
      <w:r>
        <w:rPr>
          <w:rStyle w:val="Qqr2pod"/>
        </w:rPr>
        <w:t>I. Dispositions générales</w:t>
      </w:r>
    </w:p>
    <w:p>
      <w:pPr>
        <w:pStyle w:val="Normal"/>
        <w:bidi w:val="0"/>
        <w:jc w:val="left"/>
        <w:rPr/>
      </w:pPr>
      <w:r>
        <w:rPr/>
        <w:t> </w:t>
      </w:r>
    </w:p>
    <w:p>
      <w:pPr>
        <w:pStyle w:val="Normal"/>
        <w:bidi w:val="0"/>
        <w:jc w:val="left"/>
        <w:rPr/>
      </w:pPr>
      <w:r>
        <w:rPr/>
        <w:t>Article 1</w:t>
      </w:r>
    </w:p>
    <w:p>
      <w:pPr>
        <w:pStyle w:val="Normal"/>
        <w:bidi w:val="0"/>
        <w:jc w:val="left"/>
        <w:rPr/>
      </w:pPr>
      <w:r>
        <w:rPr/>
        <w:t>Le présent règlement s'applique à la salle polyvalente « la Tinlotoise » (capacité d’environ 300 personnes), principalement réservée aux activités sportives, et au local intergénérationnel (capacité de 14 places assises), uniquement destiné aux activités de formation et/ou socio-culturelles.</w:t>
      </w:r>
    </w:p>
    <w:p>
      <w:pPr>
        <w:pStyle w:val="Normal"/>
        <w:bidi w:val="0"/>
        <w:jc w:val="left"/>
        <w:rPr/>
      </w:pPr>
      <w:r>
        <w:rPr/>
        <w:t>Toute personne privée, associations, clubs ou fédérations sportives, dénommés ci-après « l’occupant », fréquentant lesdites salles accepte, sans réserve, le présent règlement ainsi que ses extensions ou renvois sous formes d’affiches, pictogrammes et autres, situés dans une quelconque partie des locaux. L’occupant se conforme impérativement aux instructions et directives de la Commune de Tinlot ou de toute personne agissant en son nom, et plus particulièrement en matière d’ordre et de sécurité.</w:t>
      </w:r>
    </w:p>
    <w:p>
      <w:pPr>
        <w:pStyle w:val="Normal"/>
        <w:bidi w:val="0"/>
        <w:jc w:val="left"/>
        <w:rPr/>
      </w:pPr>
      <w:r>
        <w:rPr/>
        <w:t>Article 2</w:t>
      </w:r>
    </w:p>
    <w:p>
      <w:pPr>
        <w:pStyle w:val="Normal"/>
        <w:bidi w:val="0"/>
        <w:jc w:val="left"/>
        <w:rPr/>
      </w:pPr>
      <w:r>
        <w:rPr/>
        <w:t>L’occupant non respectueux du présent règlement ou ayant causé des dégradations au bâtiment (ou au matériel) devra assumer les frais de réparation. Outre la réparation du préjudice causé, il pourra être expulsé immédiatement des installations voire faire l'objet de poursuites judiciaires.</w:t>
      </w:r>
    </w:p>
    <w:p>
      <w:pPr>
        <w:pStyle w:val="Normal"/>
        <w:bidi w:val="0"/>
        <w:jc w:val="left"/>
        <w:rPr/>
      </w:pPr>
      <w:r>
        <w:rPr/>
        <w:t>La décision d’expulsion temporaire sera prise par le Bourgmestre. Toute décision d’exclusion à titre définitif sera exclusivement prise par le Collège communal sur base d’un rapport établi par le Chef des travaux et/ou de la personne s’occupant du planning de réservation. Dans ce cas, la décision du Collège communal sera notifiée à l’intéressé(e) par envoi recommandé.</w:t>
      </w:r>
    </w:p>
    <w:p>
      <w:pPr>
        <w:pStyle w:val="Normal"/>
        <w:bidi w:val="0"/>
        <w:jc w:val="left"/>
        <w:rPr/>
      </w:pPr>
      <w:r>
        <w:rPr/>
        <w:t>Article 3</w:t>
      </w:r>
    </w:p>
    <w:p>
      <w:pPr>
        <w:pStyle w:val="Normal"/>
        <w:bidi w:val="0"/>
        <w:jc w:val="left"/>
        <w:rPr/>
      </w:pPr>
      <w:r>
        <w:rPr/>
        <w:t>Les salles peuvent être fermées sur décision du Bourgmestre. En cas de problème technique ou d’accident grave, le Bourgmestre peut être amené(e) à les fermer sans préavis, sans qu’il puisse être réclamé un quelconque dédommagement ou indemnité.</w:t>
      </w:r>
    </w:p>
    <w:p>
      <w:pPr>
        <w:pStyle w:val="Normal"/>
        <w:bidi w:val="0"/>
        <w:jc w:val="left"/>
        <w:rPr/>
      </w:pPr>
      <w:r>
        <w:rPr/>
        <w:t>Article 4</w:t>
      </w:r>
    </w:p>
    <w:p>
      <w:pPr>
        <w:pStyle w:val="Normal"/>
        <w:bidi w:val="0"/>
        <w:jc w:val="left"/>
        <w:rPr/>
      </w:pPr>
      <w:r>
        <w:rPr/>
        <w:t>Sauf disposition contraire dans le présent règlement ou dans une convention spécifique conclue avec la commune de Tinlot, tout occupant est responsable de la mise en œuvre et du contrôle du respect de toute mesure, notamment de sécurité et de santé publique rendue applicable par ou en vertu d’une disposition légale ou réglementaire.</w:t>
      </w:r>
    </w:p>
    <w:p>
      <w:pPr>
        <w:pStyle w:val="Normal"/>
        <w:bidi w:val="0"/>
        <w:jc w:val="left"/>
        <w:rPr/>
      </w:pPr>
      <w:r>
        <w:rPr/>
        <w:t> </w:t>
      </w:r>
    </w:p>
    <w:p>
      <w:pPr>
        <w:pStyle w:val="Normal"/>
        <w:bidi w:val="0"/>
        <w:jc w:val="left"/>
        <w:rPr/>
      </w:pPr>
      <w:r>
        <w:rPr>
          <w:rStyle w:val="Qqr2pod"/>
        </w:rPr>
        <w:t>II. Conditions d’occupation</w:t>
      </w:r>
    </w:p>
    <w:p>
      <w:pPr>
        <w:pStyle w:val="Normal"/>
        <w:bidi w:val="0"/>
        <w:jc w:val="left"/>
        <w:rPr/>
      </w:pPr>
      <w:r>
        <w:rPr/>
        <w:t> </w:t>
      </w:r>
    </w:p>
    <w:p>
      <w:pPr>
        <w:pStyle w:val="Normal"/>
        <w:bidi w:val="0"/>
        <w:jc w:val="left"/>
        <w:rPr/>
      </w:pPr>
      <w:r>
        <w:rPr/>
        <w:t>Article 5</w:t>
      </w:r>
    </w:p>
    <w:p>
      <w:pPr>
        <w:pStyle w:val="Normal"/>
        <w:bidi w:val="0"/>
        <w:jc w:val="left"/>
        <w:rPr/>
      </w:pPr>
      <w:r>
        <w:rPr/>
        <w:t>L’accès aux salles communales est soumis préalablement à l’autorisation du Collège communal. Pour ce faire, l’occupant introduit une demande d’occupation auprès de l’administration via le formulaire ad hoc présent sur le site internet de la commune, au plus tard 1 mois avant la date souhaitée.</w:t>
      </w:r>
    </w:p>
    <w:p>
      <w:pPr>
        <w:pStyle w:val="Normal"/>
        <w:bidi w:val="0"/>
        <w:jc w:val="left"/>
        <w:rPr/>
      </w:pPr>
      <w:r>
        <w:rPr/>
        <w:t>Il sera demandé une caution de </w:t>
      </w:r>
      <w:r>
        <w:rPr>
          <w:rStyle w:val="Qqr2pod"/>
        </w:rPr>
        <w:t>150 €</w:t>
      </w:r>
      <w:r>
        <w:rPr/>
        <w:t> lors d'une location à titre privé.</w:t>
      </w:r>
    </w:p>
    <w:p>
      <w:pPr>
        <w:pStyle w:val="Normal"/>
        <w:bidi w:val="0"/>
        <w:jc w:val="left"/>
        <w:rPr/>
      </w:pPr>
      <w:r>
        <w:rPr/>
        <w:t>Article 6</w:t>
      </w:r>
    </w:p>
    <w:p>
      <w:pPr>
        <w:pStyle w:val="Normal"/>
        <w:bidi w:val="0"/>
        <w:jc w:val="left"/>
        <w:rPr/>
      </w:pPr>
      <w:r>
        <w:rPr/>
        <w:t>L’autorisation d’occupation du Collège communal sera notifiée par l’administration avant le début de l’occupation. Cette autorisation est uniquement valable pour les dates, heures et activités mentionnées. Les périodes d’installation et de rangement sont comprises dans la durée d’occupation autorisée. De même, les douches et vestiaires de la Tinlotoise sont accessibles ½ heure avant et ½ heure après le créneau d’occupation accordé.</w:t>
      </w:r>
    </w:p>
    <w:p>
      <w:pPr>
        <w:pStyle w:val="Normal"/>
        <w:bidi w:val="0"/>
        <w:jc w:val="left"/>
        <w:rPr/>
      </w:pPr>
      <w:r>
        <w:rPr/>
        <w:t>Article 7</w:t>
      </w:r>
    </w:p>
    <w:p>
      <w:pPr>
        <w:pStyle w:val="Normal"/>
        <w:bidi w:val="0"/>
        <w:jc w:val="left"/>
        <w:rPr/>
      </w:pPr>
      <w:r>
        <w:rPr/>
        <w:t>Le/la titulaire de l’autorisation d’occupation ne peut, en aucun cas, céder tout ou partie de celle-ci à un tiers.</w:t>
      </w:r>
    </w:p>
    <w:p>
      <w:pPr>
        <w:pStyle w:val="Normal"/>
        <w:bidi w:val="0"/>
        <w:jc w:val="left"/>
        <w:rPr/>
      </w:pPr>
      <w:r>
        <w:rPr/>
        <w:t>Article 8</w:t>
      </w:r>
    </w:p>
    <w:p>
      <w:pPr>
        <w:pStyle w:val="Normal"/>
        <w:bidi w:val="0"/>
        <w:jc w:val="left"/>
        <w:rPr/>
      </w:pPr>
      <w:r>
        <w:rPr/>
        <w:t>Dans le cadre de compétitions sportives ou d’événements, l’occupant est responsable du strict respect du présent Règlement d’Ordre Intérieur par les membres de l’équipe adverse et par les spectateurs.</w:t>
      </w:r>
    </w:p>
    <w:p>
      <w:pPr>
        <w:pStyle w:val="Normal"/>
        <w:bidi w:val="0"/>
        <w:jc w:val="left"/>
        <w:rPr/>
      </w:pPr>
      <w:r>
        <w:rPr/>
        <w:t>Article 9</w:t>
      </w:r>
    </w:p>
    <w:p>
      <w:pPr>
        <w:pStyle w:val="Normal"/>
        <w:bidi w:val="0"/>
        <w:jc w:val="left"/>
        <w:rPr/>
      </w:pPr>
      <w:r>
        <w:rPr/>
        <w:t>L’occupant veillera à la bonne fermeture des installations sanitaires, à l’extinction des dispositifs d’éclairage et à la fermeture des locaux occupés à la fin de l’occupation.</w:t>
      </w:r>
    </w:p>
    <w:p>
      <w:pPr>
        <w:pStyle w:val="Normal"/>
        <w:bidi w:val="0"/>
        <w:jc w:val="left"/>
        <w:rPr/>
      </w:pPr>
      <w:r>
        <w:rPr/>
        <w:t> </w:t>
      </w:r>
    </w:p>
    <w:p>
      <w:pPr>
        <w:pStyle w:val="Normal"/>
        <w:bidi w:val="0"/>
        <w:jc w:val="left"/>
        <w:rPr/>
      </w:pPr>
      <w:r>
        <w:rPr>
          <w:rStyle w:val="Qqr2pod"/>
        </w:rPr>
        <w:t>III. Règles spécifiques à chaque infrastructure</w:t>
      </w:r>
    </w:p>
    <w:p>
      <w:pPr>
        <w:pStyle w:val="Normal"/>
        <w:bidi w:val="0"/>
        <w:jc w:val="left"/>
        <w:rPr/>
      </w:pPr>
      <w:r>
        <w:rPr/>
        <w:t> </w:t>
      </w:r>
    </w:p>
    <w:p>
      <w:pPr>
        <w:pStyle w:val="Normal"/>
        <w:bidi w:val="0"/>
        <w:jc w:val="left"/>
        <w:rPr/>
      </w:pPr>
      <w:r>
        <w:rPr>
          <w:rStyle w:val="Qqr2pod"/>
        </w:rPr>
        <w:t>III.A Salle polyvalente « La Tinlotoise »</w:t>
      </w:r>
    </w:p>
    <w:p>
      <w:pPr>
        <w:pStyle w:val="Normal"/>
        <w:bidi w:val="0"/>
        <w:jc w:val="left"/>
        <w:rPr/>
      </w:pPr>
      <w:r>
        <w:rPr/>
        <w:t>Article 10</w:t>
      </w:r>
    </w:p>
    <w:p>
      <w:pPr>
        <w:pStyle w:val="Normal"/>
        <w:bidi w:val="0"/>
        <w:jc w:val="left"/>
        <w:rPr/>
      </w:pPr>
      <w:r>
        <w:rPr/>
        <w:t>Les utilisateurs seront exclusivement équipés de chaussures sportives à semelles plates, exclusivement réservées à la pratique sportive et adaptées au revêtement sportif de l’infrastructure afin de n’y laisser aucune trace d’utilisation.</w:t>
      </w:r>
    </w:p>
    <w:p>
      <w:pPr>
        <w:pStyle w:val="Normal"/>
        <w:bidi w:val="0"/>
        <w:jc w:val="left"/>
        <w:rPr/>
      </w:pPr>
      <w:r>
        <w:rPr/>
        <w:t>Article 11</w:t>
      </w:r>
    </w:p>
    <w:p>
      <w:pPr>
        <w:pStyle w:val="Normal"/>
        <w:bidi w:val="0"/>
        <w:jc w:val="left"/>
        <w:rPr/>
      </w:pPr>
      <w:r>
        <w:rPr/>
        <w:t>Mur d’escalade : L’accès et l’utilisation de la structure artificielle d’escalade (mur d’escalade) sont réservés aux groupes encadrés par un/une moniteur(trice) disposant du Certificat d’Aptitude techniques à l’animation d’un groupe sur structures artificielles d’escalade (CATAGSAE) valide, reconnu par l’ADEPS. Une copie de ce brevet devra être déposée auprès de l’administration avant l’occupation. L’utilisation du mur d’escalade implique le strict respect de la procédure d’utilisation affichée.</w:t>
      </w:r>
    </w:p>
    <w:p>
      <w:pPr>
        <w:pStyle w:val="Normal"/>
        <w:bidi w:val="0"/>
        <w:jc w:val="left"/>
        <w:rPr/>
      </w:pPr>
      <w:r>
        <w:rPr/>
        <w:t>Article 12</w:t>
      </w:r>
    </w:p>
    <w:p>
      <w:pPr>
        <w:pStyle w:val="Normal"/>
        <w:bidi w:val="0"/>
        <w:jc w:val="left"/>
        <w:rPr/>
      </w:pPr>
      <w:r>
        <w:rPr/>
        <w:t>Aires sportives extérieures : Les aires extérieures sportives sont libres d’accès pour tous, tout en respectant le règlement général de la police du Condroz. Le Bourgmestre conserve malgré tout le droit de réserver certaines aires extérieures à l’organisation de journées sportives scolaires, de stages sportifs ou de toute autre activité organisée par la Commune de Tinlot ou par des clubs sportifs. Cette réservation sera affichée sur les lieux concernés 48 heures avant l’événement.</w:t>
      </w:r>
    </w:p>
    <w:p>
      <w:pPr>
        <w:pStyle w:val="Normal"/>
        <w:bidi w:val="0"/>
        <w:jc w:val="left"/>
        <w:rPr/>
      </w:pPr>
      <w:r>
        <w:rPr/>
        <w:t>Article 13</w:t>
      </w:r>
    </w:p>
    <w:p>
      <w:pPr>
        <w:pStyle w:val="Normal"/>
        <w:bidi w:val="0"/>
        <w:jc w:val="left"/>
        <w:rPr/>
      </w:pPr>
      <w:r>
        <w:rPr/>
        <w:t>Chaque visiteur respectera les règles d’hygiène et utilisera les corbeilles publiques pour déposer ses déchets de manière sélective. L’accès des animaux, à l’exception des chiens d’assistance, est interdit sur les aires sportives et de jeux. Ils sont admis le long des allées réservées aux promeneurs à la condition expresse qu’ils soient tenus en laisse. Leur propriétaire est tenu de ramasser toute déjection déposée par leur animal.</w:t>
      </w:r>
    </w:p>
    <w:p>
      <w:pPr>
        <w:pStyle w:val="Normal"/>
        <w:bidi w:val="0"/>
        <w:jc w:val="left"/>
        <w:rPr/>
      </w:pPr>
      <w:r>
        <w:rPr/>
        <w:t>Article 14</w:t>
      </w:r>
    </w:p>
    <w:p>
      <w:pPr>
        <w:pStyle w:val="Normal"/>
        <w:bidi w:val="0"/>
        <w:jc w:val="left"/>
        <w:rPr/>
      </w:pPr>
      <w:r>
        <w:rPr/>
        <w:t>La circulation des engins à roues motorisés ou non est interdite sur les pelouses entourant la Tinlotoise. Une dérogation est accordée par le collège aux fauteuils pour personnes à mobilité réduite. La circulation et le stationnement des véhicules automobiles sont soumis à l’autorisation du Collège communal.</w:t>
      </w:r>
    </w:p>
    <w:p>
      <w:pPr>
        <w:pStyle w:val="Normal"/>
        <w:bidi w:val="0"/>
        <w:jc w:val="left"/>
        <w:rPr/>
      </w:pPr>
      <w:r>
        <w:rPr/>
        <w:t> </w:t>
      </w:r>
    </w:p>
    <w:p>
      <w:pPr>
        <w:pStyle w:val="Normal"/>
        <w:bidi w:val="0"/>
        <w:jc w:val="left"/>
        <w:rPr/>
      </w:pPr>
      <w:r>
        <w:rPr>
          <w:rStyle w:val="Qqr2pod"/>
        </w:rPr>
        <w:t>IV. Prohibitions et responsabilités</w:t>
      </w:r>
    </w:p>
    <w:p>
      <w:pPr>
        <w:pStyle w:val="Normal"/>
        <w:bidi w:val="0"/>
        <w:jc w:val="left"/>
        <w:rPr/>
      </w:pPr>
      <w:r>
        <w:rPr/>
        <w:t> </w:t>
      </w:r>
    </w:p>
    <w:p>
      <w:pPr>
        <w:pStyle w:val="Normal"/>
        <w:bidi w:val="0"/>
        <w:jc w:val="left"/>
        <w:rPr/>
      </w:pPr>
      <w:r>
        <w:rPr/>
        <w:t>Article 15</w:t>
      </w:r>
    </w:p>
    <w:p>
      <w:pPr>
        <w:pStyle w:val="Normal"/>
        <w:bidi w:val="0"/>
        <w:jc w:val="left"/>
        <w:rPr/>
      </w:pPr>
      <w:r>
        <w:rPr/>
        <w:t>Tout comportement allant à l'encontre de la sécurité, de la propreté, du respect des lieux et des gens, de la bienséance, entraînera l'expulsion immédiate de la salle. L’accès aux salles sera refusé à toute personne en état d'ivresse, d'agitation anormale susceptible de troubler l'ordre public, sous l’influence de substances psychotropes, en possession de drogues ou de boissons alcoolisées.</w:t>
      </w:r>
    </w:p>
    <w:p>
      <w:pPr>
        <w:pStyle w:val="Normal"/>
        <w:bidi w:val="0"/>
        <w:jc w:val="left"/>
        <w:rPr/>
      </w:pPr>
      <w:r>
        <w:rPr/>
        <w:t>Il est notamment strictement défendu :</w:t>
      </w:r>
    </w:p>
    <w:p>
      <w:pPr>
        <w:pStyle w:val="PodBulletItem"/>
        <w:numPr>
          <w:ilvl w:val="0"/>
          <w:numId w:val="3"/>
        </w:numPr>
        <w:tabs>
          <w:tab w:val="clear" w:pos="1037"/>
          <w:tab w:val="left" w:pos="0" w:leader="none"/>
        </w:tabs>
        <w:bidi w:val="0"/>
        <w:ind w:left="922" w:hanging="461"/>
        <w:jc w:val="left"/>
        <w:rPr/>
      </w:pPr>
      <w:r>
        <w:rPr/>
        <w:t>de fumer dans les espaces fermés de l’infrastructure ;</w:t>
      </w:r>
    </w:p>
    <w:p>
      <w:pPr>
        <w:pStyle w:val="PodBulletItem"/>
        <w:numPr>
          <w:ilvl w:val="0"/>
          <w:numId w:val="3"/>
        </w:numPr>
        <w:tabs>
          <w:tab w:val="clear" w:pos="1037"/>
          <w:tab w:val="left" w:pos="0" w:leader="none"/>
        </w:tabs>
        <w:bidi w:val="0"/>
        <w:ind w:left="922" w:hanging="461"/>
        <w:jc w:val="left"/>
        <w:rPr/>
      </w:pPr>
      <w:r>
        <w:rPr/>
        <w:t>de détériorer les installations de quelle que manière que ce soit ;</w:t>
      </w:r>
    </w:p>
    <w:p>
      <w:pPr>
        <w:pStyle w:val="PodBulletItem"/>
        <w:numPr>
          <w:ilvl w:val="0"/>
          <w:numId w:val="3"/>
        </w:numPr>
        <w:tabs>
          <w:tab w:val="clear" w:pos="1037"/>
          <w:tab w:val="left" w:pos="0" w:leader="none"/>
        </w:tabs>
        <w:bidi w:val="0"/>
        <w:ind w:left="922" w:hanging="461"/>
        <w:jc w:val="left"/>
        <w:rPr/>
      </w:pPr>
      <w:r>
        <w:rPr/>
        <w:t>de se servir des douches et installations sanitaires immodérément ;</w:t>
      </w:r>
    </w:p>
    <w:p>
      <w:pPr>
        <w:pStyle w:val="PodBulletItem"/>
        <w:numPr>
          <w:ilvl w:val="0"/>
          <w:numId w:val="3"/>
        </w:numPr>
        <w:tabs>
          <w:tab w:val="clear" w:pos="1037"/>
          <w:tab w:val="left" w:pos="0" w:leader="none"/>
        </w:tabs>
        <w:bidi w:val="0"/>
        <w:ind w:left="922" w:hanging="461"/>
        <w:jc w:val="left"/>
        <w:rPr/>
      </w:pPr>
      <w:r>
        <w:rPr/>
        <w:t>de souiller ou détériorer les installations par des inscriptions, dessins, salissures, entailles, coups ou autres procédés ;</w:t>
      </w:r>
    </w:p>
    <w:p>
      <w:pPr>
        <w:pStyle w:val="PodBulletItem"/>
        <w:numPr>
          <w:ilvl w:val="0"/>
          <w:numId w:val="3"/>
        </w:numPr>
        <w:tabs>
          <w:tab w:val="clear" w:pos="1037"/>
          <w:tab w:val="left" w:pos="0" w:leader="none"/>
        </w:tabs>
        <w:bidi w:val="0"/>
        <w:ind w:left="922" w:hanging="461"/>
        <w:jc w:val="left"/>
        <w:rPr/>
      </w:pPr>
      <w:r>
        <w:rPr/>
        <w:t>d’allumer feux, barbecues, feux d’artifice, braseros, etc. ;</w:t>
      </w:r>
    </w:p>
    <w:p>
      <w:pPr>
        <w:pStyle w:val="PodBulletItem"/>
        <w:numPr>
          <w:ilvl w:val="0"/>
          <w:numId w:val="3"/>
        </w:numPr>
        <w:tabs>
          <w:tab w:val="clear" w:pos="1037"/>
          <w:tab w:val="left" w:pos="0" w:leader="none"/>
        </w:tabs>
        <w:bidi w:val="0"/>
        <w:ind w:left="922" w:hanging="461"/>
        <w:jc w:val="left"/>
        <w:rPr/>
      </w:pPr>
      <w:r>
        <w:rPr/>
        <w:t>de se déshabiller ou de se revêtir hors des locaux prévus à cet effet ;</w:t>
      </w:r>
    </w:p>
    <w:p>
      <w:pPr>
        <w:pStyle w:val="PodBulletItem"/>
        <w:numPr>
          <w:ilvl w:val="0"/>
          <w:numId w:val="3"/>
        </w:numPr>
        <w:tabs>
          <w:tab w:val="clear" w:pos="1037"/>
          <w:tab w:val="left" w:pos="0" w:leader="none"/>
        </w:tabs>
        <w:bidi w:val="0"/>
        <w:ind w:left="922" w:hanging="461"/>
        <w:jc w:val="left"/>
        <w:rPr/>
      </w:pPr>
      <w:r>
        <w:rPr/>
        <w:t>de filmer ou photographier sans l’autorisation préalable des personnes filmées ;</w:t>
      </w:r>
    </w:p>
    <w:p>
      <w:pPr>
        <w:pStyle w:val="PodBulletItem"/>
        <w:numPr>
          <w:ilvl w:val="0"/>
          <w:numId w:val="3"/>
        </w:numPr>
        <w:tabs>
          <w:tab w:val="clear" w:pos="1037"/>
          <w:tab w:val="left" w:pos="0" w:leader="none"/>
        </w:tabs>
        <w:bidi w:val="0"/>
        <w:ind w:left="922" w:hanging="461"/>
        <w:jc w:val="left"/>
        <w:rPr/>
      </w:pPr>
      <w:r>
        <w:rPr/>
        <w:t>de consommer aliments et boissons, alcoolisées ou non (à l’exception de gourdes ou bouteilles d’eau) dans les vestiaires et les locaux d'activités ;</w:t>
      </w:r>
    </w:p>
    <w:p>
      <w:pPr>
        <w:pStyle w:val="PodBulletItem"/>
        <w:numPr>
          <w:ilvl w:val="0"/>
          <w:numId w:val="3"/>
        </w:numPr>
        <w:tabs>
          <w:tab w:val="clear" w:pos="1037"/>
          <w:tab w:val="left" w:pos="0" w:leader="none"/>
        </w:tabs>
        <w:bidi w:val="0"/>
        <w:ind w:left="922" w:hanging="461"/>
        <w:jc w:val="left"/>
        <w:rPr/>
      </w:pPr>
      <w:r>
        <w:rPr/>
        <w:t>d’adopter des attitudes ou de tenir des propos contraires à la Loi, à la bienséance ou aux bonnes mœurs.</w:t>
      </w:r>
    </w:p>
    <w:p>
      <w:pPr>
        <w:pStyle w:val="PodBulletItem"/>
        <w:numPr>
          <w:ilvl w:val="0"/>
          <w:numId w:val="3"/>
        </w:numPr>
        <w:tabs>
          <w:tab w:val="clear" w:pos="1037"/>
          <w:tab w:val="left" w:pos="0" w:leader="none"/>
        </w:tabs>
        <w:bidi w:val="0"/>
        <w:ind w:left="922" w:hanging="461"/>
        <w:jc w:val="left"/>
        <w:rPr/>
      </w:pPr>
      <w:r>
        <w:rPr/>
        <w:t>d’introduire sur l’entièreté du site des armes, des produits dangereux, toxiques, explosifs, inflammables ou de nature à nuire aux installations et à leur état sanitaire.</w:t>
      </w:r>
    </w:p>
    <w:p>
      <w:pPr>
        <w:pStyle w:val="Normal"/>
        <w:bidi w:val="0"/>
        <w:jc w:val="left"/>
        <w:rPr/>
      </w:pPr>
      <w:r>
        <w:rPr/>
        <w:t>Article 16</w:t>
      </w:r>
    </w:p>
    <w:p>
      <w:pPr>
        <w:pStyle w:val="Normal"/>
        <w:bidi w:val="0"/>
        <w:jc w:val="left"/>
        <w:rPr/>
      </w:pPr>
      <w:r>
        <w:rPr/>
        <w:t>La Commune de Tinlot décline toute responsabilité du chef d’accident quel qu’il soit, causé par les utilisateurs. Ces derniers seront responsables des dommages qu’ils pourraient occasionner à eux-mêmes, à des tiers, au matériel et aux locaux.</w:t>
      </w:r>
    </w:p>
    <w:p>
      <w:pPr>
        <w:pStyle w:val="Normal"/>
        <w:bidi w:val="0"/>
        <w:jc w:val="left"/>
        <w:rPr/>
      </w:pPr>
      <w:r>
        <w:rPr/>
        <w:t>Article 17</w:t>
      </w:r>
    </w:p>
    <w:p>
      <w:pPr>
        <w:pStyle w:val="Normal"/>
        <w:bidi w:val="0"/>
        <w:jc w:val="left"/>
        <w:rPr/>
      </w:pPr>
      <w:r>
        <w:rPr/>
        <w:t>La Commune de Tinlot ne peut, en aucun cas, être rendue responsable de perte, vol, disparition ou dégâts à des objets quelconques ou à des pièces d’habillement.</w:t>
      </w:r>
    </w:p>
    <w:p>
      <w:pPr>
        <w:pStyle w:val="Normal"/>
        <w:bidi w:val="0"/>
        <w:jc w:val="left"/>
        <w:rPr/>
      </w:pPr>
      <w:r>
        <w:rPr/>
        <w:t>Article 18</w:t>
      </w:r>
    </w:p>
    <w:p>
      <w:pPr>
        <w:pStyle w:val="Normal"/>
        <w:bidi w:val="0"/>
        <w:jc w:val="left"/>
        <w:rPr/>
      </w:pPr>
      <w:r>
        <w:rPr/>
        <w:t>Les occupants sont responsables des dégâts occasionnés par leur pratique. Concomitamment, ils doivent être couverts par une assurance « dégâts matériels » et en fournir la preuve au Collège communal, préalablement à l’occupation.</w:t>
      </w:r>
    </w:p>
    <w:p>
      <w:pPr>
        <w:pStyle w:val="Normal"/>
        <w:bidi w:val="0"/>
        <w:jc w:val="left"/>
        <w:rPr/>
      </w:pPr>
      <w:r>
        <w:rPr/>
        <w:t>Article 19</w:t>
      </w:r>
    </w:p>
    <w:p>
      <w:pPr>
        <w:pStyle w:val="Normal"/>
        <w:bidi w:val="0"/>
        <w:jc w:val="left"/>
        <w:rPr/>
      </w:pPr>
      <w:r>
        <w:rPr/>
        <w:t>Tout groupe doit être accompagné d'une personne désignée, majeure et responsable. Celle-ci (enseignant(e), surveillant(e), moniteur(trice), éducateur(trice), entraîneur(neuse) et autres) est civilement responsable de son groupe. En outre, elle assure activement la surveillance des membres de son groupe tant sur les aires extérieures que dans les zones intérieures (salles, vestiaires, cafétéria, etc). Tout groupe privé de responsable sera aussitôt prié de quitter les lieux.</w:t>
      </w:r>
    </w:p>
    <w:p>
      <w:pPr>
        <w:pStyle w:val="Normal"/>
        <w:bidi w:val="0"/>
        <w:jc w:val="left"/>
        <w:rPr/>
      </w:pPr>
      <w:r>
        <w:rPr/>
        <w:t>Article 20</w:t>
      </w:r>
    </w:p>
    <w:p>
      <w:pPr>
        <w:pStyle w:val="Normal"/>
        <w:bidi w:val="0"/>
        <w:jc w:val="left"/>
        <w:rPr/>
      </w:pPr>
      <w:r>
        <w:rPr/>
        <w:t>Les agrès ou engins sportifs mis à disposition des occupants doivent être exclusivement utilisés aux fins prévues. Dans le cas où un défaut serait constaté, l’utilisateur(trice) est tenu de ne pas utiliser l’engin visé, de prendre toute disposition utile pour qu’il ne représente pas un danger pour autrui et de prévenir sans délai la Commune.</w:t>
      </w:r>
    </w:p>
    <w:p>
      <w:pPr>
        <w:pStyle w:val="Normal"/>
        <w:bidi w:val="0"/>
        <w:jc w:val="left"/>
        <w:rPr/>
      </w:pPr>
      <w:r>
        <w:rPr/>
        <w:t>Le matériel éventuellement apporté au sein de l’infrastructure sportive communale par les occupants l’est à leur propre risque et moyennant autorisation préalable du Collège communal. Si ce matériel reste en permanence dans les locaux et normalement accessible, il est à la disposition de tout utilisateur éventuel. Le contrôle de sécurité périodique de ce matériel est pleinement assumé par son propriétaire, qui en fourni la preuve auprès du/de la Gestionnaire.</w:t>
      </w:r>
    </w:p>
    <w:p>
      <w:pPr>
        <w:pStyle w:val="Normal"/>
        <w:bidi w:val="0"/>
        <w:jc w:val="left"/>
        <w:rPr/>
      </w:pPr>
      <w:r>
        <w:rPr/>
        <w:t>Article 21</w:t>
      </w:r>
    </w:p>
    <w:p>
      <w:pPr>
        <w:pStyle w:val="Normal"/>
        <w:bidi w:val="0"/>
        <w:jc w:val="left"/>
        <w:rPr/>
      </w:pPr>
      <w:r>
        <w:rPr/>
        <w:t>L’occupant reste toujours personnellement responsable vis-à-vis des tiers et de n’importe quelle autorité ou administration. Il est tenu, le cas échéant, de payer taxes, impôts, droits d’auteurs et autres redevances éventuelles qu’entraîneraient ses activités.</w:t>
      </w:r>
    </w:p>
    <w:p>
      <w:pPr>
        <w:pStyle w:val="Normal"/>
        <w:bidi w:val="0"/>
        <w:jc w:val="left"/>
        <w:rPr/>
      </w:pPr>
      <w:r>
        <w:rPr/>
        <w:t> </w:t>
      </w:r>
    </w:p>
    <w:p>
      <w:pPr>
        <w:pStyle w:val="Normal"/>
        <w:bidi w:val="0"/>
        <w:jc w:val="left"/>
        <w:rPr/>
      </w:pPr>
      <w:r>
        <w:rPr>
          <w:rStyle w:val="Qqr2pod"/>
        </w:rPr>
        <w:t>V. Divers</w:t>
      </w:r>
    </w:p>
    <w:p>
      <w:pPr>
        <w:pStyle w:val="Normal"/>
        <w:bidi w:val="0"/>
        <w:jc w:val="left"/>
        <w:rPr/>
      </w:pPr>
      <w:r>
        <w:rPr/>
        <w:t> </w:t>
      </w:r>
    </w:p>
    <w:p>
      <w:pPr>
        <w:pStyle w:val="Normal"/>
        <w:bidi w:val="0"/>
        <w:jc w:val="left"/>
        <w:rPr/>
      </w:pPr>
      <w:r>
        <w:rPr/>
        <w:t>Article 22</w:t>
      </w:r>
    </w:p>
    <w:p>
      <w:pPr>
        <w:pStyle w:val="Normal"/>
        <w:bidi w:val="0"/>
        <w:jc w:val="left"/>
        <w:rPr/>
      </w:pPr>
      <w:r>
        <w:rPr/>
        <w:t>Les manquements au présent règlement sont constatés par l’agent en charge du planning d’occupation dans le cadre des missions qui lui sont confiées par le Collège communal. Toute réclamation, remarque ou suggestion peut utilement être adressée à l’agent en charge du planning d’occupation de l’Infrastructure concernée.</w:t>
      </w:r>
    </w:p>
    <w:p>
      <w:pPr>
        <w:pStyle w:val="Normal"/>
        <w:bidi w:val="0"/>
        <w:jc w:val="left"/>
        <w:rPr/>
      </w:pPr>
      <w:r>
        <w:rPr/>
        <w:t>Article 23</w:t>
      </w:r>
    </w:p>
    <w:p>
      <w:pPr>
        <w:pStyle w:val="Normal"/>
        <w:bidi w:val="0"/>
        <w:jc w:val="left"/>
        <w:rPr/>
      </w:pPr>
      <w:r>
        <w:rPr/>
        <w:t>Tout cas non prévu au présent règlement relève de la compétence du Collège communal.</w:t>
      </w:r>
    </w:p>
    <w:p>
      <w:pPr>
        <w:pStyle w:val="Normal"/>
        <w:bidi w:val="0"/>
        <w:jc w:val="left"/>
        <w:rPr/>
      </w:pPr>
      <w:r>
        <w:rPr/>
        <w:t>Article 24</w:t>
      </w:r>
    </w:p>
    <w:p>
      <w:pPr>
        <w:pStyle w:val="Normal"/>
        <w:bidi w:val="0"/>
        <w:jc w:val="left"/>
        <w:rPr/>
      </w:pPr>
      <w:r>
        <w:rPr/>
        <w:t>En cas de litige grave, seuls les tribunaux de Huy sont compétents.</w:t>
      </w:r>
    </w:p>
    <w:p>
      <w:pPr>
        <w:pStyle w:val="Normal"/>
        <w:bidi w:val="0"/>
        <w:jc w:val="left"/>
        <w:rPr/>
      </w:pPr>
      <w:r>
        <w:rPr/>
        <w:t>Article 25</w:t>
      </w:r>
    </w:p>
    <w:p>
      <w:pPr>
        <w:pStyle w:val="ParaKWN"/>
        <w:keepNext w:val="true"/>
        <w:bidi w:val="0"/>
        <w:jc w:val="left"/>
        <w:rPr/>
      </w:pPr>
      <w:r>
        <w:rPr/>
        <w:t>Le présent règlement approuvé par le Conseil communal en séance du 16.09.2025 sera affiché à l’entrée des divers locaux des infrastructures concernées de la Commune de Tinlot.</w:t>
      </w:r>
    </w:p>
    <w:p>
      <w:pPr>
        <w:pStyle w:val="Normal"/>
        <w:keepNext w:val="true"/>
        <w:tabs>
          <w:tab w:val="clear" w:pos="1037"/>
          <w:tab w:val="left" w:pos="-720" w:leader="none"/>
        </w:tabs>
        <w:suppressAutoHyphens w:val="true"/>
        <w:bidi w:val="0"/>
        <w:ind w:left="0" w:right="851" w:hanging="0"/>
        <w:jc w:val="both"/>
        <w:rPr>
          <w:rFonts w:ascii="Carlito" w:hAnsi="Carlito"/>
          <w:sz w:val="24"/>
          <w:szCs w:val="24"/>
        </w:rPr>
      </w:pPr>
      <w:r>
        <w:rPr>
          <w:rFonts w:ascii="Carlito" w:hAnsi="Carlito"/>
          <w:sz w:val="24"/>
          <w:szCs w:val="24"/>
        </w:rPr>
      </w:r>
    </w:p>
    <w:tbl>
      <w:tblPr>
        <w:tblW w:w="5000" w:type="pct"/>
        <w:jc w:val="left"/>
        <w:tblInd w:w="0" w:type="dxa"/>
        <w:tblLayout w:type="fixed"/>
        <w:tblCellMar>
          <w:top w:w="0" w:type="dxa"/>
          <w:left w:w="0" w:type="dxa"/>
          <w:bottom w:w="0" w:type="dxa"/>
          <w:right w:w="0" w:type="dxa"/>
        </w:tblCellMar>
      </w:tblPr>
      <w:tblGrid>
        <w:gridCol w:w="6634"/>
        <w:gridCol w:w="3004"/>
      </w:tblGrid>
      <w:tr>
        <w:trPr/>
        <w:tc>
          <w:tcPr>
            <w:tcW w:w="9638" w:type="dxa"/>
            <w:gridSpan w:val="2"/>
            <w:tcBorders/>
          </w:tcPr>
          <w:p>
            <w:pPr>
              <w:pStyle w:val="TableContents"/>
              <w:keepNext w:val="true"/>
              <w:bidi w:val="0"/>
              <w:jc w:val="center"/>
              <w:rPr>
                <w:rFonts w:ascii="Carlito" w:hAnsi="Carlito"/>
                <w:caps w:val="false"/>
                <w:smallCaps w:val="false"/>
                <w:sz w:val="24"/>
                <w:szCs w:val="24"/>
              </w:rPr>
            </w:pPr>
            <w:r>
              <w:rPr>
                <w:rFonts w:ascii="Carlito" w:hAnsi="Carlito"/>
                <w:caps w:val="false"/>
                <w:smallCaps w:val="false"/>
                <w:sz w:val="24"/>
                <w:szCs w:val="24"/>
              </w:rPr>
              <w:t>Par le Conseil Communal</w:t>
            </w:r>
          </w:p>
        </w:tc>
      </w:tr>
      <w:tr>
        <w:trPr/>
        <w:tc>
          <w:tcPr>
            <w:tcW w:w="6634" w:type="dxa"/>
            <w:tcBorders/>
          </w:tcPr>
          <w:p>
            <w:pPr>
              <w:pStyle w:val="BodyText2"/>
              <w:keepNext w:val="true"/>
              <w:bidi w:val="0"/>
              <w:ind w:left="0" w:right="0" w:hanging="0"/>
              <w:jc w:val="both"/>
              <w:rPr>
                <w:rFonts w:ascii="Carlito" w:hAnsi="Carlito"/>
                <w:sz w:val="24"/>
                <w:szCs w:val="24"/>
              </w:rPr>
            </w:pPr>
            <w:r>
              <w:rPr>
                <w:rFonts w:ascii="Carlito" w:hAnsi="Carlito"/>
                <w:sz w:val="24"/>
                <w:szCs w:val="24"/>
              </w:rPr>
            </w:r>
          </w:p>
        </w:tc>
        <w:tc>
          <w:tcPr>
            <w:tcW w:w="3004" w:type="dxa"/>
            <w:tcBorders/>
          </w:tcPr>
          <w:p>
            <w:pPr>
              <w:pStyle w:val="TableContents"/>
              <w:keepNext w:val="true"/>
              <w:bidi w:val="0"/>
              <w:jc w:val="both"/>
              <w:rPr>
                <w:rFonts w:ascii="Carlito" w:hAnsi="Carlito"/>
                <w:sz w:val="24"/>
                <w:szCs w:val="24"/>
              </w:rPr>
            </w:pPr>
            <w:r>
              <w:rPr>
                <w:rFonts w:ascii="Carlito" w:hAnsi="Carlito"/>
                <w:sz w:val="24"/>
                <w:szCs w:val="24"/>
              </w:rPr>
            </w:r>
          </w:p>
        </w:tc>
      </w:tr>
      <w:tr>
        <w:trPr/>
        <w:tc>
          <w:tcPr>
            <w:tcW w:w="6634" w:type="dxa"/>
            <w:tcBorders/>
          </w:tcPr>
          <w:p>
            <w:pPr>
              <w:pStyle w:val="TableContents"/>
              <w:keepNext w:val="true"/>
              <w:bidi w:val="0"/>
              <w:jc w:val="both"/>
              <w:rPr>
                <w:rFonts w:ascii="Carlito" w:hAnsi="Carlito"/>
                <w:sz w:val="24"/>
                <w:szCs w:val="24"/>
              </w:rPr>
            </w:pPr>
            <w:r>
              <w:rPr>
                <w:rFonts w:ascii="Carlito" w:hAnsi="Carlito"/>
                <w:sz w:val="24"/>
                <w:szCs w:val="24"/>
              </w:rPr>
              <w:t>Le Directeur Général f.f.</w:t>
            </w:r>
          </w:p>
        </w:tc>
        <w:tc>
          <w:tcPr>
            <w:tcW w:w="3004" w:type="dxa"/>
            <w:tcBorders/>
          </w:tcPr>
          <w:p>
            <w:pPr>
              <w:pStyle w:val="TableContents"/>
              <w:keepNext w:val="true"/>
              <w:bidi w:val="0"/>
              <w:jc w:val="left"/>
              <w:rPr>
                <w:rFonts w:ascii="Carlito" w:hAnsi="Carlito"/>
                <w:sz w:val="24"/>
                <w:szCs w:val="24"/>
              </w:rPr>
            </w:pPr>
            <w:r>
              <w:rPr>
                <w:rFonts w:ascii="Carlito" w:hAnsi="Carlito"/>
                <w:sz w:val="24"/>
                <w:szCs w:val="24"/>
              </w:rPr>
              <w:t>La Bourgmestre</w:t>
            </w:r>
          </w:p>
        </w:tc>
      </w:tr>
      <w:tr>
        <w:trPr/>
        <w:tc>
          <w:tcPr>
            <w:tcW w:w="6634" w:type="dxa"/>
            <w:tcBorders/>
          </w:tcPr>
          <w:p>
            <w:pPr>
              <w:pStyle w:val="BodyText2"/>
              <w:keepNext w:val="true"/>
              <w:bidi w:val="0"/>
              <w:ind w:left="0" w:right="0" w:hanging="0"/>
              <w:jc w:val="both"/>
              <w:rPr>
                <w:rFonts w:ascii="Carlito" w:hAnsi="Carlito"/>
                <w:sz w:val="24"/>
                <w:szCs w:val="24"/>
                <w:lang w:val="fr-BE"/>
              </w:rPr>
            </w:pPr>
            <w:r>
              <w:rPr>
                <w:rFonts w:ascii="Carlito" w:hAnsi="Carlito"/>
                <w:sz w:val="24"/>
                <w:szCs w:val="24"/>
                <w:lang w:val="fr-BE"/>
              </w:rPr>
              <w:t>(s) Joachim REBIA</w:t>
            </w:r>
          </w:p>
        </w:tc>
        <w:tc>
          <w:tcPr>
            <w:tcW w:w="3004" w:type="dxa"/>
            <w:tcBorders/>
          </w:tcPr>
          <w:p>
            <w:pPr>
              <w:pStyle w:val="BodyText2"/>
              <w:keepNext w:val="true"/>
              <w:bidi w:val="0"/>
              <w:ind w:left="0" w:right="0" w:hanging="0"/>
              <w:jc w:val="left"/>
              <w:rPr>
                <w:rFonts w:ascii="Carlito" w:hAnsi="Carlito"/>
                <w:sz w:val="24"/>
                <w:szCs w:val="24"/>
                <w:lang w:val="fr-BE"/>
              </w:rPr>
            </w:pPr>
            <w:r>
              <w:rPr>
                <w:rFonts w:ascii="Carlito" w:hAnsi="Carlito"/>
                <w:sz w:val="24"/>
                <w:szCs w:val="24"/>
                <w:lang w:val="fr-BE"/>
              </w:rPr>
              <w:t>(s) Christine GUYOT</w:t>
            </w:r>
          </w:p>
        </w:tc>
      </w:tr>
      <w:tr>
        <w:trPr/>
        <w:tc>
          <w:tcPr>
            <w:tcW w:w="9638" w:type="dxa"/>
            <w:gridSpan w:val="2"/>
            <w:tcBorders/>
          </w:tcPr>
          <w:p>
            <w:pPr>
              <w:pStyle w:val="Normal"/>
              <w:keepNext w:val="true"/>
              <w:bidi w:val="0"/>
              <w:spacing w:lineRule="auto" w:line="240" w:before="0" w:after="0"/>
              <w:jc w:val="center"/>
              <w:rPr>
                <w:rFonts w:ascii="Carlito" w:hAnsi="Carlito" w:cs="Calibri"/>
                <w:sz w:val="24"/>
                <w:szCs w:val="24"/>
                <w:lang w:val="fr-BE" w:eastAsia="fr-BE"/>
              </w:rPr>
            </w:pPr>
            <w:r>
              <w:rPr>
                <w:rFonts w:cs="Calibri" w:ascii="Carlito" w:hAnsi="Carlito"/>
                <w:sz w:val="24"/>
                <w:szCs w:val="24"/>
                <w:lang w:val="fr-BE" w:eastAsia="fr-BE"/>
              </w:rPr>
            </w:r>
          </w:p>
          <w:p>
            <w:pPr>
              <w:pStyle w:val="Normal"/>
              <w:bidi w:val="0"/>
              <w:spacing w:lineRule="auto" w:line="240" w:before="0" w:after="0"/>
              <w:jc w:val="center"/>
              <w:rPr>
                <w:rFonts w:ascii="Carlito" w:hAnsi="Carlito" w:cs="Calibri"/>
                <w:sz w:val="24"/>
                <w:szCs w:val="24"/>
                <w:lang w:val="fr-BE" w:eastAsia="fr-BE"/>
              </w:rPr>
            </w:pPr>
            <w:r>
              <w:rPr>
                <w:rFonts w:cs="Calibri" w:ascii="Carlito" w:hAnsi="Carlito"/>
                <w:sz w:val="24"/>
                <w:szCs w:val="24"/>
                <w:lang w:val="fr-BE" w:eastAsia="fr-BE"/>
              </w:rPr>
              <w:t>Pour extrait conforme</w:t>
            </w:r>
          </w:p>
          <w:p>
            <w:pPr>
              <w:pStyle w:val="BodyText2"/>
              <w:keepNext w:val="true"/>
              <w:bidi w:val="0"/>
              <w:ind w:left="0" w:right="0" w:hanging="0"/>
              <w:jc w:val="both"/>
              <w:rPr>
                <w:rFonts w:ascii="Carlito" w:hAnsi="Carlito"/>
                <w:sz w:val="24"/>
                <w:szCs w:val="24"/>
                <w:lang w:val="fr-BE" w:eastAsia="fr-BE"/>
              </w:rPr>
            </w:pPr>
            <w:r>
              <w:rPr>
                <w:rFonts w:ascii="Carlito" w:hAnsi="Carlito"/>
                <w:sz w:val="24"/>
                <w:szCs w:val="24"/>
                <w:lang w:val="fr-BE" w:eastAsia="fr-BE"/>
              </w:rPr>
            </w:r>
          </w:p>
        </w:tc>
      </w:tr>
      <w:tr>
        <w:trPr/>
        <w:tc>
          <w:tcPr>
            <w:tcW w:w="6634" w:type="dxa"/>
            <w:tcBorders/>
          </w:tcPr>
          <w:p>
            <w:pPr>
              <w:pStyle w:val="TableContents"/>
              <w:keepNext w:val="true"/>
              <w:bidi w:val="0"/>
              <w:jc w:val="both"/>
              <w:rPr>
                <w:rFonts w:ascii="Carlito" w:hAnsi="Carlito"/>
                <w:sz w:val="24"/>
                <w:szCs w:val="24"/>
              </w:rPr>
            </w:pPr>
            <w:r>
              <w:rPr>
                <w:rFonts w:ascii="Carlito" w:hAnsi="Carlito"/>
                <w:sz w:val="24"/>
                <w:szCs w:val="24"/>
              </w:rPr>
            </w:r>
          </w:p>
        </w:tc>
        <w:tc>
          <w:tcPr>
            <w:tcW w:w="3004" w:type="dxa"/>
            <w:tcBorders/>
          </w:tcPr>
          <w:p>
            <w:pPr>
              <w:pStyle w:val="TableContents"/>
              <w:keepNext w:val="true"/>
              <w:bidi w:val="0"/>
              <w:jc w:val="left"/>
              <w:rPr>
                <w:rFonts w:ascii="Carlito" w:hAnsi="Carlito"/>
                <w:sz w:val="24"/>
                <w:szCs w:val="24"/>
              </w:rPr>
            </w:pPr>
            <w:r>
              <w:rPr>
                <w:rFonts w:ascii="Carlito" w:hAnsi="Carlito"/>
                <w:sz w:val="24"/>
                <w:szCs w:val="24"/>
              </w:rPr>
              <w:t>La Bourgmestre</w:t>
            </w:r>
          </w:p>
        </w:tc>
      </w:tr>
      <w:tr>
        <w:trPr/>
        <w:tc>
          <w:tcPr>
            <w:tcW w:w="6634" w:type="dxa"/>
            <w:tcBorders/>
          </w:tcPr>
          <w:p>
            <w:pPr>
              <w:pStyle w:val="TableContents"/>
              <w:keepNext w:val="true"/>
              <w:bidi w:val="0"/>
              <w:jc w:val="both"/>
              <w:rPr>
                <w:rFonts w:ascii="Carlito" w:hAnsi="Carlito"/>
                <w:sz w:val="24"/>
                <w:szCs w:val="24"/>
              </w:rPr>
            </w:pPr>
            <w:r>
              <w:rPr>
                <w:rFonts w:ascii="Carlito" w:hAnsi="Carlito"/>
                <w:sz w:val="24"/>
                <w:szCs w:val="24"/>
              </w:rPr>
            </w:r>
          </w:p>
        </w:tc>
        <w:tc>
          <w:tcPr>
            <w:tcW w:w="3004" w:type="dxa"/>
            <w:tcBorders/>
          </w:tcPr>
          <w:p>
            <w:pPr>
              <w:pStyle w:val="TableContents"/>
              <w:keepNext w:val="true"/>
              <w:bidi w:val="0"/>
              <w:jc w:val="left"/>
              <w:rPr>
                <w:rFonts w:ascii="Carlito" w:hAnsi="Carlito"/>
                <w:sz w:val="24"/>
                <w:szCs w:val="24"/>
              </w:rPr>
            </w:pPr>
            <w:r>
              <w:rPr>
                <w:rFonts w:ascii="Carlito" w:hAnsi="Carlito"/>
                <w:sz w:val="24"/>
                <w:szCs w:val="24"/>
              </w:rPr>
            </w:r>
          </w:p>
        </w:tc>
      </w:tr>
      <w:tr>
        <w:trPr/>
        <w:tc>
          <w:tcPr>
            <w:tcW w:w="6634" w:type="dxa"/>
            <w:tcBorders/>
          </w:tcPr>
          <w:p>
            <w:pPr>
              <w:pStyle w:val="TableContents"/>
              <w:keepNext w:val="true"/>
              <w:bidi w:val="0"/>
              <w:jc w:val="both"/>
              <w:rPr>
                <w:rFonts w:ascii="Carlito" w:hAnsi="Carlito"/>
                <w:sz w:val="24"/>
                <w:szCs w:val="24"/>
              </w:rPr>
            </w:pPr>
            <w:r>
              <w:rPr>
                <w:rFonts w:ascii="Carlito" w:hAnsi="Carlito"/>
                <w:sz w:val="24"/>
                <w:szCs w:val="24"/>
              </w:rPr>
            </w:r>
          </w:p>
        </w:tc>
        <w:tc>
          <w:tcPr>
            <w:tcW w:w="3004" w:type="dxa"/>
            <w:tcBorders/>
          </w:tcPr>
          <w:p>
            <w:pPr>
              <w:pStyle w:val="TableContents"/>
              <w:keepNext w:val="true"/>
              <w:bidi w:val="0"/>
              <w:jc w:val="left"/>
              <w:rPr>
                <w:rFonts w:ascii="Carlito" w:hAnsi="Carlito"/>
                <w:sz w:val="24"/>
                <w:szCs w:val="24"/>
              </w:rPr>
            </w:pPr>
            <w:r>
              <w:rPr>
                <w:rFonts w:ascii="Carlito" w:hAnsi="Carlito"/>
                <w:sz w:val="24"/>
                <w:szCs w:val="24"/>
              </w:rPr>
            </w:r>
          </w:p>
        </w:tc>
      </w:tr>
      <w:tr>
        <w:trPr/>
        <w:tc>
          <w:tcPr>
            <w:tcW w:w="6634" w:type="dxa"/>
            <w:tcBorders/>
          </w:tcPr>
          <w:p>
            <w:pPr>
              <w:pStyle w:val="TableContents"/>
              <w:keepNext w:val="true"/>
              <w:bidi w:val="0"/>
              <w:jc w:val="both"/>
              <w:rPr>
                <w:rFonts w:ascii="Carlito" w:hAnsi="Carlito"/>
                <w:sz w:val="24"/>
                <w:szCs w:val="24"/>
              </w:rPr>
            </w:pPr>
            <w:r>
              <w:rPr>
                <w:rFonts w:ascii="Carlito" w:hAnsi="Carlito"/>
                <w:sz w:val="24"/>
                <w:szCs w:val="24"/>
              </w:rPr>
              <w:t>.</w:t>
            </w:r>
          </w:p>
        </w:tc>
        <w:tc>
          <w:tcPr>
            <w:tcW w:w="3004" w:type="dxa"/>
            <w:tcBorders/>
          </w:tcPr>
          <w:p>
            <w:pPr>
              <w:pStyle w:val="TableContents"/>
              <w:keepNext w:val="true"/>
              <w:bidi w:val="0"/>
              <w:jc w:val="left"/>
              <w:rPr>
                <w:rFonts w:ascii="Carlito" w:hAnsi="Carlito"/>
                <w:sz w:val="24"/>
                <w:szCs w:val="24"/>
              </w:rPr>
            </w:pPr>
            <w:r>
              <w:rPr>
                <w:rFonts w:ascii="Carlito" w:hAnsi="Carlito"/>
                <w:sz w:val="24"/>
                <w:szCs w:val="24"/>
              </w:rPr>
              <w:t>Christine GUYOT.</w:t>
            </w:r>
          </w:p>
        </w:tc>
      </w:tr>
    </w:tbl>
    <w:p>
      <w:pPr>
        <w:pStyle w:val="Normal"/>
        <w:keepNext w:val="true"/>
        <w:tabs>
          <w:tab w:val="clear" w:pos="1037"/>
          <w:tab w:val="left" w:pos="-720" w:leader="none"/>
        </w:tabs>
        <w:suppressAutoHyphens w:val="true"/>
        <w:bidi w:val="0"/>
        <w:spacing w:lineRule="auto" w:line="240" w:before="0" w:after="0"/>
        <w:ind w:left="0" w:right="851" w:hanging="0"/>
        <w:jc w:val="both"/>
        <w:rPr>
          <w:rFonts w:ascii="Carlito" w:hAnsi="Carlito" w:cs="Calibri"/>
          <w:sz w:val="24"/>
          <w:szCs w:val="24"/>
        </w:rPr>
      </w:pPr>
      <w:r>
        <w:rPr>
          <w:rFonts w:cs="Calibri" w:ascii="Carlito" w:hAnsi="Carlito"/>
          <w:sz w:val="24"/>
          <w:szCs w:val="24"/>
        </w:rPr>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arlito">
    <w:altName w:val="Calibri"/>
    <w:charset w:val="01"/>
    <w:family w:val="swiss"/>
    <w:pitch w:val="variable"/>
  </w:font>
  <w:font w:name="Liberation Sans">
    <w:altName w:val="Arial"/>
    <w:charset w:val="01"/>
    <w:family w:val="swiss"/>
    <w:pitch w:val="variable"/>
  </w:font>
  <w:font w:name="Tahoma">
    <w:charset w:val="01"/>
    <w:family w:val="swiss"/>
    <w:pitch w:val="variable"/>
  </w:font>
  <w:font w:name="Arial">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none"/>
      <w:suff w:val="nothing"/>
      <w:lvlText w:val="%5"/>
      <w:lvlJc w:val="left"/>
      <w:pPr>
        <w:tabs>
          <w:tab w:val="num" w:pos="0"/>
        </w:tabs>
        <w:ind w:left="0" w:hanging="0"/>
      </w:pPr>
    </w:lvl>
    <w:lvl w:ilvl="5">
      <w:start w:val="1"/>
      <w:pStyle w:val="Heading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20"/>
  <w:defaultTabStop w:val="1037"/>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CJK SC" w:cs="Lohit Devanagari"/>
        <w:kern w:val="2"/>
        <w:sz w:val="24"/>
        <w:szCs w:val="24"/>
        <w:lang w:val="fr-B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Carlito" w:hAnsi="Carlito" w:eastAsia="Noto Sans CJK SC" w:cs="Lohit Devanagari"/>
      <w:color w:val="auto"/>
      <w:kern w:val="2"/>
      <w:sz w:val="24"/>
      <w:szCs w:val="24"/>
      <w:lang w:val="fr-BE"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Heading"/>
    <w:next w:val="Normal"/>
    <w:qFormat/>
    <w:pPr>
      <w:numPr>
        <w:ilvl w:val="1"/>
        <w:numId w:val="1"/>
      </w:numPr>
      <w:spacing w:before="200" w:after="120"/>
      <w:outlineLvl w:val="1"/>
    </w:pPr>
    <w:rPr>
      <w:b/>
      <w:bCs/>
      <w:sz w:val="32"/>
      <w:szCs w:val="32"/>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Heading"/>
    <w:next w:val="Normal"/>
    <w:qFormat/>
    <w:pPr>
      <w:numPr>
        <w:ilvl w:val="3"/>
        <w:numId w:val="1"/>
      </w:numPr>
      <w:spacing w:before="120" w:after="120"/>
      <w:outlineLvl w:val="3"/>
    </w:pPr>
    <w:rPr>
      <w:b/>
      <w:bCs/>
      <w:i/>
      <w:iCs/>
      <w:color w:val="808080"/>
      <w:sz w:val="27"/>
      <w:szCs w:val="27"/>
    </w:rPr>
  </w:style>
  <w:style w:type="paragraph" w:styleId="Heading5">
    <w:name w:val="Heading 5"/>
    <w:basedOn w:val="Heading"/>
    <w:next w:val="Normal"/>
    <w:qFormat/>
    <w:pPr>
      <w:numPr>
        <w:ilvl w:val="4"/>
        <w:numId w:val="1"/>
      </w:numPr>
      <w:spacing w:before="120" w:after="60"/>
      <w:outlineLvl w:val="4"/>
    </w:pPr>
    <w:rPr>
      <w:b/>
      <w:bCs/>
      <w:sz w:val="24"/>
      <w:szCs w:val="24"/>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character" w:styleId="PODNumberingSymbols">
    <w:name w:val="POD Numbering Symbols"/>
    <w:qFormat/>
    <w:rPr/>
  </w:style>
  <w:style w:type="character" w:styleId="PODBulletSymbols">
    <w:name w:val="POD Bullet Symbols"/>
    <w:qFormat/>
    <w:rPr/>
  </w:style>
  <w:style w:type="character" w:styleId="Finlettre">
    <w:name w:val="Finlettre"/>
    <w:qFormat/>
    <w:rPr/>
  </w:style>
  <w:style w:type="character" w:styleId="Policepardfaut">
    <w:name w:val="Police par défaut"/>
    <w:qFormat/>
    <w:rPr/>
  </w:style>
  <w:style w:type="character" w:styleId="StrongEmphasis">
    <w:name w:val="Strong Emphasis"/>
    <w:basedOn w:val="Policepardfaut"/>
    <w:qFormat/>
    <w:rPr>
      <w:b/>
      <w:bCs/>
    </w:rPr>
  </w:style>
  <w:style w:type="character" w:styleId="Qqr1pod">
    <w:name w:val="qqr1pod"/>
    <w:qFormat/>
    <w:rPr>
      <w:b/>
      <w:u w:val="single"/>
    </w:rPr>
  </w:style>
  <w:style w:type="character" w:styleId="Qqr2pod">
    <w:name w:val="qqr2pod"/>
    <w:qFormat/>
    <w:rPr>
      <w:b/>
    </w:rPr>
  </w:style>
  <w:style w:type="paragraph" w:styleId="ParaKWN">
    <w:name w:val="ParaKWN"/>
    <w:basedOn w:val="Normal"/>
    <w:qFormat/>
    <w:pPr>
      <w:keepNext w:val="true"/>
    </w:pP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hanging="0"/>
    </w:pPr>
    <w:rPr>
      <w:rFonts w:ascii="Times New Roman" w:hAnsi="Times New Roman" w:eastAsia="Noto Sans CJK SC" w:cs="Lohit Devanagari"/>
      <w:color w:val="auto"/>
      <w:kern w:val="2"/>
      <w:sz w:val="4"/>
      <w:szCs w:val="24"/>
      <w:lang w:val="fr-BE"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hanging="0"/>
    </w:pPr>
    <w:rPr>
      <w:rFonts w:ascii="Times New Roman" w:hAnsi="Times New Roman" w:eastAsia="Noto Sans CJK SC" w:cs="Lohit Devanagari"/>
      <w:color w:val="auto"/>
      <w:kern w:val="2"/>
      <w:sz w:val="4"/>
      <w:szCs w:val="24"/>
      <w:lang w:val="fr-BE" w:eastAsia="zh-CN" w:bidi="hi-IN"/>
    </w:rPr>
  </w:style>
  <w:style w:type="paragraph" w:styleId="PodColumnBreak">
    <w:name w:val="podColumnBreak"/>
    <w:qFormat/>
    <w:pPr>
      <w:widowControl/>
      <w:kinsoku w:val="true"/>
      <w:overflowPunct w:val="true"/>
      <w:autoSpaceDE w:val="true"/>
      <w:bidi w:val="0"/>
    </w:pPr>
    <w:rPr>
      <w:rFonts w:ascii="Times New Roman" w:hAnsi="Times New Roman" w:eastAsia="Noto Sans CJK SC" w:cs="Lohit Devanagari"/>
      <w:color w:val="auto"/>
      <w:kern w:val="2"/>
      <w:sz w:val="24"/>
      <w:szCs w:val="24"/>
      <w:lang w:val="fr-BE"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TextBody"/>
    <w:pPr/>
    <w:rPr>
      <w:rFonts w:ascii="Times New Roman" w:hAnsi="Times New Roman"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styleId="Index">
    <w:name w:val="Index"/>
    <w:basedOn w:val="Normal"/>
    <w:qFormat/>
    <w:pPr>
      <w:suppressLineNumbers/>
    </w:pPr>
    <w:rPr>
      <w:rFonts w:ascii="Times New Roman" w:hAnsi="Times New Roman" w:cs="Lohit Devanagari"/>
    </w:rPr>
  </w:style>
  <w:style w:type="paragraph" w:styleId="MltAssembly">
    <w:name w:val="mltAssembly"/>
    <w:basedOn w:val="Normal"/>
    <w:qFormat/>
    <w:pPr/>
    <w:rPr>
      <w:b/>
    </w:rPr>
  </w:style>
  <w:style w:type="paragraph" w:styleId="TableContents">
    <w:name w:val="Table Contents"/>
    <w:basedOn w:val="Normal"/>
    <w:qFormat/>
    <w:pPr>
      <w:suppressLineNumbers/>
    </w:pPr>
    <w:rPr/>
  </w:style>
  <w:style w:type="paragraph" w:styleId="BodyText2">
    <w:name w:val="Body Text 2"/>
    <w:basedOn w:val="Normal"/>
    <w:qFormat/>
    <w:pPr>
      <w:overflowPunct w:val="false"/>
      <w:autoSpaceDE w:val="false"/>
      <w:ind w:left="2835" w:right="0" w:hanging="0"/>
    </w:pPr>
    <w:rPr>
      <w:szCs w:val="20"/>
    </w:rPr>
  </w:style>
  <w:style w:type="paragraph" w:styleId="Standard2">
    <w:name w:val="Standard2"/>
    <w:qFormat/>
    <w:pPr>
      <w:widowControl/>
      <w:kinsoku w:val="true"/>
      <w:overflowPunct w:val="true"/>
      <w:autoSpaceDE w:val="true"/>
      <w:bidi w:val="0"/>
    </w:pPr>
    <w:rPr>
      <w:rFonts w:ascii="Tahoma" w:hAnsi="Tahoma" w:eastAsia="Noto Sans CJK SC" w:cs="Lohit Devanagari"/>
      <w:color w:val="auto"/>
      <w:kern w:val="2"/>
      <w:sz w:val="20"/>
      <w:szCs w:val="24"/>
      <w:lang w:val="fr-BE" w:eastAsia="zh-CN" w:bidi="hi-IN"/>
    </w:rPr>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LibreOffice/7.3.7.2$Linux_X86_64 LibreOffice_project/30$Build-2</Application>
  <AppVersion>15.0000</AppVersion>
  <Pages>2</Pages>
  <Words>240</Words>
  <Characters>2173</Characters>
  <CharactersWithSpaces>2328</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2020-11-04T12:49:51Z</dcterms:created>
  <dc:creator>André NUYENS</dc:creator>
  <dc:description/>
  <dc:language>en-US</dc:language>
  <cp:lastModifiedBy>André NUYENS</cp:lastModifiedBy>
  <dcterms:modified xsi:type="dcterms:W3CDTF">2020-11-04T13:00:04Z</dcterms:modified>
  <cp:revision>2</cp:revision>
  <dc:subject/>
  <dc:title>tmpUh9kC0</dc:title>
</cp:coreProperties>
</file>